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Регламент проведения годового заседания Общего собрания акционеров ПАО «Россети Юг» по итогам 2025 года с дистанционным участием без определения места его проведения и возможности присутствия в этом месте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pStyle w:val="802"/>
        <w:numPr>
          <w:ilvl w:val="0"/>
          <w:numId w:val="13"/>
        </w:numPr>
        <w:ind w:left="0" w:firstLine="284"/>
        <w:rPr>
          <w:b/>
          <w:sz w:val="22"/>
          <w:szCs w:val="18"/>
        </w:rPr>
      </w:pPr>
      <w:r>
        <w:rPr>
          <w:b/>
          <w:sz w:val="23"/>
          <w:szCs w:val="23"/>
        </w:rPr>
        <w:t xml:space="preserve">Термины и определения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2"/>
          <w:szCs w:val="18"/>
        </w:rPr>
      </w:pPr>
      <w:r>
        <w:rPr>
          <w:b/>
          <w:sz w:val="23"/>
          <w:szCs w:val="23"/>
        </w:rPr>
        <w:t xml:space="preserve">Акционер </w:t>
      </w:r>
      <w:r>
        <w:rPr>
          <w:sz w:val="23"/>
          <w:szCs w:val="23"/>
        </w:rPr>
        <w:t xml:space="preserve">- лицо, имеющее пра</w:t>
      </w:r>
      <w:r>
        <w:rPr>
          <w:sz w:val="23"/>
          <w:szCs w:val="23"/>
        </w:rPr>
        <w:t xml:space="preserve">во голоса при принятии решений Собранием.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b/>
          <w:sz w:val="22"/>
          <w:szCs w:val="18"/>
        </w:rPr>
      </w:pPr>
      <w:r>
        <w:rPr>
          <w:b/>
          <w:sz w:val="23"/>
          <w:szCs w:val="23"/>
        </w:rPr>
        <w:t xml:space="preserve">Дистанционное участие </w:t>
      </w:r>
      <w:r>
        <w:rPr>
          <w:sz w:val="23"/>
          <w:szCs w:val="23"/>
        </w:rPr>
        <w:t xml:space="preserve">– </w:t>
      </w:r>
      <w:r>
        <w:rPr>
          <w:sz w:val="23"/>
          <w:szCs w:val="23"/>
          <w:lang w:eastAsia="en-US"/>
        </w:rPr>
        <w:t xml:space="preserve">участие Акционера в Заседании дистанционным способом (статья 49.1 Федерального закона от 26.12.1995 N 208-ФЗ «Об акционерных обществах») с помощью функций Личного кабинета акционера. 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2"/>
          <w:szCs w:val="18"/>
        </w:rPr>
      </w:pPr>
      <w:r>
        <w:rPr>
          <w:b/>
          <w:sz w:val="23"/>
          <w:szCs w:val="23"/>
        </w:rPr>
        <w:t xml:space="preserve">Запись</w:t>
      </w:r>
      <w:r>
        <w:rPr>
          <w:b/>
          <w:sz w:val="23"/>
          <w:szCs w:val="23"/>
        </w:rPr>
        <w:t xml:space="preserve"> трансляции </w:t>
      </w:r>
      <w:r>
        <w:rPr>
          <w:sz w:val="23"/>
          <w:szCs w:val="23"/>
        </w:rPr>
        <w:t xml:space="preserve">– фиксирование всех событий и действий, происходящих в ходе проведения Заседания, в виде </w:t>
      </w:r>
      <w:r>
        <w:rPr>
          <w:sz w:val="23"/>
          <w:szCs w:val="23"/>
          <w:lang w:eastAsia="en-US"/>
        </w:rPr>
        <w:t xml:space="preserve">видеосъемки изображения и записи звука во время проведения Заседания</w:t>
      </w:r>
      <w:r>
        <w:rPr>
          <w:sz w:val="23"/>
          <w:szCs w:val="23"/>
        </w:rPr>
        <w:t xml:space="preserve">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2"/>
          <w:szCs w:val="18"/>
        </w:rPr>
      </w:pPr>
      <w:r>
        <w:rPr>
          <w:b/>
          <w:sz w:val="23"/>
          <w:szCs w:val="23"/>
        </w:rPr>
        <w:t xml:space="preserve">Заседание </w:t>
      </w:r>
      <w:r>
        <w:rPr>
          <w:sz w:val="23"/>
          <w:szCs w:val="23"/>
        </w:rPr>
        <w:t xml:space="preserve">– годовое заседание Общего собрания акционеров Общества с дистанционным уча</w:t>
      </w:r>
      <w:r>
        <w:rPr>
          <w:sz w:val="23"/>
          <w:szCs w:val="23"/>
        </w:rPr>
        <w:t xml:space="preserve">стием без определения места его проведения и возможности присутствия в этом месте, голосование на котором совмещается с заочным голосование (способ принятия решений Собраний).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b/>
          <w:sz w:val="22"/>
          <w:szCs w:val="18"/>
        </w:rPr>
      </w:pPr>
      <w:r>
        <w:rPr>
          <w:b/>
          <w:sz w:val="23"/>
          <w:szCs w:val="23"/>
        </w:rPr>
        <w:t xml:space="preserve">Идентификация акционера - </w:t>
      </w:r>
      <w:r>
        <w:rPr>
          <w:sz w:val="23"/>
          <w:szCs w:val="23"/>
        </w:rPr>
        <w:t xml:space="preserve">процесс сравнения данных документов акционера с данным</w:t>
      </w:r>
      <w:r>
        <w:rPr>
          <w:sz w:val="23"/>
          <w:szCs w:val="23"/>
        </w:rPr>
        <w:t xml:space="preserve">и из списка лиц, имеющих право голоса при принятии решений Собранием.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2"/>
          <w:szCs w:val="18"/>
        </w:rPr>
      </w:pPr>
      <w:r>
        <w:rPr>
          <w:b/>
          <w:bCs/>
          <w:sz w:val="23"/>
          <w:szCs w:val="23"/>
        </w:rPr>
        <w:t xml:space="preserve">Информация (материалы) –</w:t>
      </w:r>
      <w:r>
        <w:rPr>
          <w:bCs/>
          <w:sz w:val="23"/>
          <w:szCs w:val="23"/>
        </w:rPr>
        <w:t xml:space="preserve"> информация (материалы), перечень которой утвержден Советом директоров Общества, и предоставляемая при подготовке к проведению Заседания, лицам, имеющим право гол</w:t>
      </w:r>
      <w:r>
        <w:rPr>
          <w:bCs/>
          <w:sz w:val="23"/>
          <w:szCs w:val="23"/>
        </w:rPr>
        <w:t xml:space="preserve">оса при принятии решений Собранием.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Личный кабинет акционера – веб</w:t>
      </w:r>
      <w:r>
        <w:rPr>
          <w:bCs/>
          <w:sz w:val="23"/>
          <w:szCs w:val="23"/>
        </w:rPr>
        <w:t xml:space="preserve">-приложение регистратора Общества АО «НРК-Р.О.С.Т.» (онлайн Сервис НРК-Р.О.С.Т.), введенное в гражданский оборот под наименованием «Личный кабинет акционера», функции которого позволяют дост</w:t>
      </w:r>
      <w:r>
        <w:rPr>
          <w:bCs/>
          <w:sz w:val="23"/>
          <w:szCs w:val="23"/>
        </w:rPr>
        <w:t xml:space="preserve">оверно установить личность Акционера (или его представителя) , принимающего  участие в Заседании, обеспечивают Акционерам возможность регистрации для участия в Заседании и голосования путем заполнения электронной формы бюллетеней, а также возможность досту</w:t>
      </w:r>
      <w:r>
        <w:rPr>
          <w:bCs/>
          <w:sz w:val="23"/>
          <w:szCs w:val="23"/>
        </w:rPr>
        <w:t xml:space="preserve">па к трансляции заседания в режиме реального времени и участия в обсуждении вопросов повестки дня Заседания. </w:t>
      </w:r>
      <w:r>
        <w:rPr>
          <w:bCs/>
          <w:sz w:val="23"/>
          <w:szCs w:val="23"/>
        </w:rPr>
      </w:r>
      <w:r>
        <w:rPr>
          <w:bCs/>
          <w:sz w:val="23"/>
          <w:szCs w:val="23"/>
        </w:rPr>
      </w:r>
    </w:p>
    <w:p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Правила доступа и использования Сервиса НРК-Р.О.С.Т. – Личный кабинет акционера, размещены</w:t>
      </w:r>
      <w:r>
        <w:rPr>
          <w:bCs/>
          <w:sz w:val="23"/>
          <w:szCs w:val="23"/>
        </w:rPr>
        <w:t xml:space="preserve"> на официальном сайте Регистратора в информационно-телекоммуникационной сети Интернет по адресу. https://rrost.ru/ru/shareholder/online_shareholder/online-services/new_lka/. Личный кабинет акционера размещен на сайте АО «НРК-Р.О.С.Т.» </w:t>
      </w:r>
      <w:hyperlink r:id="rId11" w:tooltip="https://rrost.ru" w:history="1">
        <w:r>
          <w:rPr>
            <w:rStyle w:val="944"/>
            <w:bCs/>
            <w:sz w:val="23"/>
            <w:szCs w:val="23"/>
          </w:rPr>
          <w:t xml:space="preserve">https://rrost.ru</w:t>
        </w:r>
      </w:hyperlink>
      <w:r>
        <w:t xml:space="preserve"> и доступен по ссылке </w:t>
      </w:r>
      <w:hyperlink r:id="rId12" w:tooltip="https://lk.rrost.ru/Account/LogOn?returnUrl=%2F" w:history="1">
        <w:r>
          <w:rPr>
            <w:rStyle w:val="944"/>
            <w:bCs/>
            <w:sz w:val="23"/>
            <w:szCs w:val="23"/>
          </w:rPr>
          <w:t xml:space="preserve">https://lk.rrost.ru</w:t>
        </w:r>
      </w:hyperlink>
      <w:r>
        <w:rPr>
          <w:bCs/>
          <w:sz w:val="23"/>
          <w:szCs w:val="23"/>
        </w:rPr>
        <w:t xml:space="preserve">.</w:t>
      </w:r>
      <w:r>
        <w:rPr>
          <w:bCs/>
          <w:sz w:val="23"/>
          <w:szCs w:val="23"/>
        </w:rPr>
      </w:r>
      <w:r>
        <w:rPr>
          <w:bCs/>
          <w:sz w:val="23"/>
          <w:szCs w:val="23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2"/>
          <w:szCs w:val="18"/>
        </w:rPr>
      </w:pPr>
      <w:r>
        <w:rPr>
          <w:b/>
          <w:sz w:val="23"/>
          <w:szCs w:val="23"/>
        </w:rPr>
        <w:t xml:space="preserve">Общество </w:t>
      </w:r>
      <w:r>
        <w:rPr>
          <w:sz w:val="23"/>
          <w:szCs w:val="23"/>
        </w:rPr>
        <w:t xml:space="preserve">- ПАО «Россети Юг».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2"/>
          <w:szCs w:val="18"/>
        </w:rPr>
      </w:pPr>
      <w:r>
        <w:rPr>
          <w:b/>
          <w:sz w:val="23"/>
          <w:szCs w:val="23"/>
        </w:rPr>
        <w:t xml:space="preserve">Собрание </w:t>
      </w:r>
      <w:r>
        <w:rPr>
          <w:sz w:val="23"/>
          <w:szCs w:val="23"/>
        </w:rPr>
        <w:t xml:space="preserve">- Общее собрание акционеров ПАО «Россети Юг».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 xml:space="preserve">Трансляция Заседания </w:t>
      </w:r>
      <w:r>
        <w:rPr>
          <w:sz w:val="23"/>
          <w:szCs w:val="23"/>
        </w:rPr>
        <w:t xml:space="preserve">– трансляция изображения и звука Заседания в режиме </w:t>
      </w:r>
      <w:r>
        <w:rPr>
          <w:bCs/>
          <w:sz w:val="23"/>
          <w:szCs w:val="23"/>
        </w:rPr>
        <w:t xml:space="preserve">реального времени в Личном кабинете акционера</w:t>
      </w:r>
      <w:r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pStyle w:val="802"/>
        <w:numPr>
          <w:ilvl w:val="0"/>
          <w:numId w:val="13"/>
        </w:numPr>
        <w:contextualSpacing w:val="0"/>
        <w:ind w:left="0" w:firstLine="284"/>
        <w:spacing w:before="120"/>
        <w:rPr>
          <w:b/>
          <w:sz w:val="22"/>
          <w:szCs w:val="18"/>
        </w:rPr>
      </w:pPr>
      <w:r>
        <w:rPr>
          <w:b/>
          <w:sz w:val="23"/>
          <w:szCs w:val="23"/>
        </w:rPr>
        <w:t xml:space="preserve">Общие положения</w:t>
      </w:r>
      <w:r>
        <w:rPr>
          <w:sz w:val="23"/>
          <w:szCs w:val="23"/>
        </w:rPr>
        <w:t xml:space="preserve">.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2"/>
          <w:szCs w:val="18"/>
        </w:rPr>
      </w:pPr>
      <w:r>
        <w:rPr>
          <w:sz w:val="23"/>
          <w:szCs w:val="23"/>
        </w:rPr>
        <w:t xml:space="preserve">Настоящий документ устанавливает порядок доступа к Дистанционному участи</w:t>
      </w:r>
      <w:r>
        <w:rPr>
          <w:sz w:val="23"/>
          <w:szCs w:val="23"/>
        </w:rPr>
        <w:t xml:space="preserve">ю в Заседании, в том числе способы достоверного установления лиц, принимающих Дистанционное участие в Заседании, участия в обсуждении вопросов и голосовании по вопросам повестки дня Заседания, поставленным на голосование, технические требования для участия</w:t>
      </w:r>
      <w:r>
        <w:rPr>
          <w:sz w:val="23"/>
          <w:szCs w:val="23"/>
        </w:rPr>
        <w:t xml:space="preserve"> в Заседании.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contextualSpacing/>
        <w:ind w:left="0" w:firstLine="709"/>
        <w:jc w:val="both"/>
        <w:rPr>
          <w:sz w:val="22"/>
          <w:szCs w:val="18"/>
        </w:rPr>
        <w:suppressLineNumbers w:val="0"/>
      </w:pPr>
      <w:r>
        <w:rPr>
          <w:spacing w:val="0"/>
          <w:sz w:val="23"/>
          <w:szCs w:val="23"/>
        </w:rPr>
        <w:t xml:space="preserve">Заседание проводится 10 июня 2026 года. </w:t>
      </w:r>
      <w:r>
        <w:rPr>
          <w:spacing w:val="0"/>
          <w:sz w:val="23"/>
          <w:szCs w:val="23"/>
          <w:highlight w:val="white"/>
        </w:rPr>
        <w:t xml:space="preserve">Регистрация Акционеров производится</w:t>
      </w:r>
      <w:r>
        <w:rPr>
          <w:spacing w:val="0"/>
          <w:sz w:val="23"/>
          <w:szCs w:val="23"/>
          <w:highlight w:val="white"/>
        </w:rPr>
        <w:t xml:space="preserve"> с 10:00 </w:t>
      </w:r>
      <w:r>
        <w:rPr>
          <w:sz w:val="23"/>
          <w:szCs w:val="23"/>
          <w:highlight w:val="white"/>
        </w:rPr>
        <w:t xml:space="preserve">ч. по московскому времени </w:t>
      </w:r>
      <w:r>
        <w:rPr>
          <w:sz w:val="23"/>
          <w:szCs w:val="23"/>
          <w:highlight w:val="white"/>
        </w:rPr>
        <w:t xml:space="preserve">и </w:t>
      </w:r>
      <w:r>
        <w:rPr>
          <w:sz w:val="23"/>
          <w:szCs w:val="23"/>
          <w:highlight w:val="white"/>
        </w:rPr>
        <w:t xml:space="preserve">з</w:t>
      </w:r>
      <w:r>
        <w:rPr>
          <w:sz w:val="23"/>
          <w:szCs w:val="23"/>
          <w:highlight w:val="white"/>
        </w:rPr>
        <w:t xml:space="preserve">аканчивается после завершения обсуждения последнего вопроса повестки дня Заседания (последнего вопроса повестки дня Заседания, по которому имеется кворум) и до начала времени, которое предоставляется для голосования лицам, не проголосовавшим до этого момен</w:t>
      </w:r>
      <w:r>
        <w:rPr>
          <w:sz w:val="23"/>
          <w:szCs w:val="23"/>
          <w:highlight w:val="white"/>
        </w:rPr>
        <w:t xml:space="preserve">та</w:t>
      </w:r>
      <w:r>
        <w:rPr>
          <w:sz w:val="23"/>
          <w:szCs w:val="23"/>
          <w:highlight w:val="white"/>
        </w:rPr>
        <w:t xml:space="preserve">.</w:t>
      </w:r>
      <w:r>
        <w:rPr>
          <w:sz w:val="23"/>
          <w:szCs w:val="23"/>
          <w:highlight w:val="white"/>
        </w:rPr>
        <w:t xml:space="preserve"> </w:t>
      </w:r>
      <w:r>
        <w:rPr>
          <w:sz w:val="23"/>
          <w:szCs w:val="23"/>
        </w:rPr>
        <w:t xml:space="preserve">Доступ к электронному голосованию в Личном кабинете акционера предоставляется с момента регистрац</w:t>
      </w:r>
      <w:r>
        <w:rPr>
          <w:sz w:val="23"/>
          <w:szCs w:val="23"/>
        </w:rPr>
        <w:t xml:space="preserve">ии и до окончания обсуждения последнего вопроса повестки дня Заседания.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Дистанционное заседание будет открыто 10 июня 2026 года в 11 часов 00 минут.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13"/>
        </w:numPr>
        <w:contextualSpacing w:val="0"/>
        <w:ind w:left="0" w:firstLine="284"/>
        <w:jc w:val="both"/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Достоверное установление лиц, принимающих дистанционное участие в Заседании. 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Достоверное установление лиц</w:t>
      </w:r>
      <w:r>
        <w:rPr>
          <w:sz w:val="23"/>
          <w:szCs w:val="23"/>
        </w:rPr>
        <w:t xml:space="preserve">, принимающих дистанционное участие в Заседании, осуществляется: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36"/>
        </w:numPr>
        <w:ind w:left="709" w:right="0" w:firstLine="0"/>
        <w:jc w:val="both"/>
        <w:spacing w:before="120"/>
        <w:tabs>
          <w:tab w:val="left" w:pos="85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с использованием единой системы идентификации и аутентификации при наличии подтвержденной учетной записи на портале Госуслуг;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36"/>
        </w:numPr>
        <w:ind w:left="709" w:right="0" w:firstLine="0"/>
        <w:jc w:val="both"/>
        <w:spacing w:before="120"/>
        <w:tabs>
          <w:tab w:val="left" w:pos="85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с использованием простой электронной подписи (логин и пароль), по</w:t>
      </w:r>
      <w:r>
        <w:rPr>
          <w:sz w:val="23"/>
          <w:szCs w:val="23"/>
        </w:rPr>
        <w:t xml:space="preserve">лученной в соответствии с Правилами использования простой электронной подписи при электронном взаимодействии с НРК-Р.О.С.Т., размещенными на сайте АО «НРК-Р.О.С.Т.» по адресу: </w:t>
      </w:r>
      <w:hyperlink r:id="rId13" w:tooltip="https://rrost.ru/ru/shareholder/online_shareholder/online-services/new_lka/" w:history="1">
        <w:r>
          <w:rPr>
            <w:rStyle w:val="944"/>
            <w:sz w:val="23"/>
            <w:szCs w:val="23"/>
          </w:rPr>
          <w:t xml:space="preserve">https://rrost.ru/ru/shareholder/online_shareholder/online-services/new_lka/</w:t>
        </w:r>
      </w:hyperlink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13"/>
        </w:numPr>
        <w:contextualSpacing w:val="0"/>
        <w:ind w:left="0" w:firstLine="284"/>
        <w:spacing w:before="120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Получение доступа к участию </w:t>
      </w:r>
      <w:r>
        <w:rPr>
          <w:b/>
          <w:sz w:val="23"/>
          <w:szCs w:val="23"/>
        </w:rPr>
        <w:t xml:space="preserve">в Заседании.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Акционерам, желающим принять Дистанционное у</w:t>
      </w:r>
      <w:r>
        <w:rPr>
          <w:sz w:val="23"/>
          <w:szCs w:val="23"/>
        </w:rPr>
        <w:t xml:space="preserve">частие в Заседании, необходимо войти в Личный кабинет акционера и зарегистрироваться для участия в Заседании.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Подключение к Личному кабинету акционера.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Подключение к Личному кабинету акционера</w:t>
      </w:r>
      <w:r>
        <w:rPr>
          <w:sz w:val="23"/>
          <w:szCs w:val="23"/>
        </w:rPr>
        <w:t xml:space="preserve"> (если Акционер не был подключен к Личному кабинету акционера р</w:t>
      </w:r>
      <w:r>
        <w:rPr>
          <w:sz w:val="23"/>
          <w:szCs w:val="23"/>
        </w:rPr>
        <w:t xml:space="preserve">анее)  производится до Заседания  следующими способами: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77"/>
        <w:ind w:left="540"/>
        <w:jc w:val="both"/>
        <w:spacing w:after="0"/>
        <w:rPr>
          <w:b/>
          <w:sz w:val="22"/>
          <w:szCs w:val="18"/>
        </w:rPr>
      </w:pPr>
      <w:r>
        <w:rPr>
          <w:b/>
          <w:sz w:val="23"/>
          <w:szCs w:val="23"/>
        </w:rPr>
        <w:t xml:space="preserve">для Акционеров-физических лиц: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0"/>
          <w:numId w:val="14"/>
        </w:numPr>
        <w:ind w:left="709" w:right="0" w:firstLine="0"/>
        <w:jc w:val="both"/>
        <w:tabs>
          <w:tab w:val="left" w:pos="992" w:leader="none"/>
        </w:tabs>
        <w:rPr>
          <w:rStyle w:val="944"/>
          <w:sz w:val="23"/>
          <w:szCs w:val="23"/>
        </w:rPr>
      </w:pPr>
      <w:r>
        <w:rPr>
          <w:sz w:val="23"/>
          <w:szCs w:val="23"/>
        </w:rPr>
        <w:t xml:space="preserve">подать Заявление в любое подразделение АО «НРК-Р.О.С.Т.» из указанных на сайте </w:t>
      </w:r>
      <w:hyperlink r:id="rId14" w:tooltip="https://rrost.ru/ru/filials/" w:history="1">
        <w:r>
          <w:rPr>
            <w:rStyle w:val="944"/>
            <w:sz w:val="23"/>
            <w:szCs w:val="23"/>
          </w:rPr>
          <w:t xml:space="preserve">https://rro</w:t>
        </w:r>
        <w:r>
          <w:rPr>
            <w:rStyle w:val="944"/>
            <w:sz w:val="23"/>
            <w:szCs w:val="23"/>
          </w:rPr>
          <w:t xml:space="preserve">st.ru/ru/filials/</w:t>
        </w:r>
      </w:hyperlink>
      <w:r>
        <w:rPr>
          <w:rStyle w:val="944"/>
          <w:sz w:val="23"/>
          <w:szCs w:val="23"/>
        </w:rPr>
        <w:t xml:space="preserve">. </w:t>
      </w:r>
      <w:r>
        <w:rPr>
          <w:sz w:val="23"/>
          <w:szCs w:val="23"/>
        </w:rPr>
        <w:t xml:space="preserve">Электронная форма Заявления размещена на сайте Регистратора по адресу </w:t>
      </w:r>
      <w:hyperlink r:id="rId15" w:tooltip="https://www.vtbreg.ru" w:history="1">
        <w:r>
          <w:rPr>
            <w:rStyle w:val="944"/>
            <w:sz w:val="23"/>
            <w:szCs w:val="23"/>
          </w:rPr>
          <w:t xml:space="preserve">https://rrost.ru/ru/shareholder/online_shareholder/online-services/new_lka/</w:t>
        </w:r>
      </w:hyperlink>
      <w:r>
        <w:rPr>
          <w:sz w:val="23"/>
          <w:szCs w:val="23"/>
        </w:rPr>
        <w:t xml:space="preserve">; </w:t>
      </w:r>
      <w:r>
        <w:rPr>
          <w:rStyle w:val="944"/>
          <w:sz w:val="23"/>
          <w:szCs w:val="23"/>
        </w:rPr>
        <w:t xml:space="preserve">или </w:t>
      </w:r>
      <w:r>
        <w:rPr>
          <w:rStyle w:val="944"/>
          <w:sz w:val="23"/>
          <w:szCs w:val="23"/>
        </w:rPr>
      </w:r>
      <w:r>
        <w:rPr>
          <w:rStyle w:val="944"/>
          <w:sz w:val="23"/>
          <w:szCs w:val="23"/>
        </w:rPr>
      </w:r>
    </w:p>
    <w:p>
      <w:pPr>
        <w:pStyle w:val="802"/>
        <w:numPr>
          <w:ilvl w:val="0"/>
          <w:numId w:val="14"/>
        </w:numPr>
        <w:ind w:left="709" w:right="0" w:firstLine="0"/>
        <w:jc w:val="both"/>
        <w:tabs>
          <w:tab w:val="left" w:pos="992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использовать удаленное подключение. Порядок подключения к Личному кабинету акционера изложен на сайте Регистратора: </w:t>
      </w:r>
      <w:hyperlink r:id="rId16" w:tooltip="https://rrost.ru/ru/shareholder/online_shareholder/online-services/new_lka/" w:history="1">
        <w:r>
          <w:rPr>
            <w:rStyle w:val="944"/>
            <w:sz w:val="23"/>
            <w:szCs w:val="23"/>
          </w:rPr>
          <w:t xml:space="preserve">https://rrost.ru/ru/shareholder/online_shareholder/online-services/new_lka/</w:t>
        </w:r>
      </w:hyperlink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77"/>
        <w:ind w:left="540"/>
        <w:jc w:val="both"/>
        <w:spacing w:after="0"/>
        <w:rPr>
          <w:b/>
          <w:sz w:val="22"/>
          <w:szCs w:val="18"/>
        </w:rPr>
      </w:pPr>
      <w:r>
        <w:rPr>
          <w:b/>
          <w:sz w:val="23"/>
          <w:szCs w:val="23"/>
        </w:rPr>
        <w:t xml:space="preserve">для Акционеров-юридических лиц: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0"/>
          <w:numId w:val="14"/>
        </w:numPr>
        <w:ind w:left="709" w:right="0" w:firstLine="0"/>
        <w:jc w:val="both"/>
        <w:tabs>
          <w:tab w:val="left" w:pos="992" w:leader="none"/>
        </w:tabs>
        <w:rPr>
          <w:rStyle w:val="944"/>
          <w:color w:val="auto"/>
          <w:sz w:val="23"/>
          <w:szCs w:val="23"/>
          <w:u w:val="none"/>
        </w:rPr>
      </w:pPr>
      <w:r>
        <w:rPr>
          <w:sz w:val="23"/>
          <w:szCs w:val="23"/>
        </w:rPr>
        <w:t xml:space="preserve">подать Заявление и доверенность на представителя юридического лица (в случае подключения представителя) </w:t>
      </w:r>
      <w:r>
        <w:rPr>
          <w:sz w:val="23"/>
          <w:szCs w:val="23"/>
        </w:rPr>
        <w:t xml:space="preserve">в бумажной форме в любое подразделение АО «НРК-Р.О.С.Т.» из указанных на сайте </w:t>
      </w:r>
      <w:hyperlink r:id="rId17" w:tooltip="https://rrost.ru/ru/filials/" w:history="1">
        <w:r>
          <w:rPr>
            <w:rStyle w:val="944"/>
            <w:sz w:val="23"/>
            <w:szCs w:val="23"/>
          </w:rPr>
          <w:t xml:space="preserve">https://rrost.ru/ru/filials/</w:t>
        </w:r>
      </w:hyperlink>
      <w:r>
        <w:rPr>
          <w:rStyle w:val="944"/>
          <w:color w:val="auto"/>
          <w:sz w:val="23"/>
          <w:szCs w:val="23"/>
          <w:u w:val="none"/>
        </w:rPr>
      </w:r>
      <w:r>
        <w:rPr>
          <w:rStyle w:val="944"/>
          <w:color w:val="auto"/>
          <w:sz w:val="23"/>
          <w:szCs w:val="23"/>
          <w:u w:val="none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Вход в Личный кабинет акционера.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Вход в «Личный кабинет акционера»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ос</w:t>
      </w:r>
      <w:r>
        <w:rPr>
          <w:sz w:val="23"/>
          <w:szCs w:val="23"/>
        </w:rPr>
        <w:t xml:space="preserve">уществляется с помощью: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33"/>
        </w:numPr>
        <w:ind w:left="709" w:right="0" w:firstLine="0"/>
        <w:jc w:val="both"/>
        <w:tabs>
          <w:tab w:val="left" w:pos="992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действующего Ключа простой электронной подписи (логин и пароль), полученного в соответствии с Правилами использования простой электронной подписи при электронном взаимодействии с НРК-Р.О.С.Т. (предоставленный Регистратором в момент </w:t>
      </w:r>
      <w:r>
        <w:rPr>
          <w:sz w:val="23"/>
          <w:szCs w:val="23"/>
        </w:rPr>
        <w:t xml:space="preserve">подключения к Личному кабинету акционера  временный пароль нужно сменить на постоянный); или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33"/>
        </w:numPr>
        <w:ind w:left="709" w:right="0" w:firstLine="0"/>
        <w:jc w:val="both"/>
        <w:tabs>
          <w:tab w:val="left" w:pos="992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с использованием учетной записи портала Госуслуг (ЕСИА).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входа в Личный кабинет акционера необходимо ввести в указанную форму свои логин и пароль или выбрать</w:t>
      </w:r>
      <w:r>
        <w:rPr>
          <w:sz w:val="23"/>
          <w:szCs w:val="23"/>
        </w:rPr>
        <w:t xml:space="preserve"> вход через Госуслуги. При входе через портал Госуслуг необходимо будет дать согласие на предоставление своих идентификационных данных регистратору.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Доступ для участия в Заседании. 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участия в Заседании после начала регистрации на Заседании необходимо </w:t>
      </w:r>
      <w:r>
        <w:rPr>
          <w:sz w:val="23"/>
          <w:szCs w:val="23"/>
        </w:rPr>
        <w:t xml:space="preserve">войти в Личный кабинет акционера в раздел «Голосование» и выбрать Заседание в котором Акционер будет участвовать. В случае наличия у Акционера более одного пакета акций Акционеру необходимо выбрать один из них. Доступ для участия в Заседании предоставляетс</w:t>
      </w:r>
      <w:r>
        <w:rPr>
          <w:sz w:val="23"/>
          <w:szCs w:val="23"/>
        </w:rPr>
        <w:t xml:space="preserve">я: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31"/>
        </w:numPr>
        <w:ind w:left="709" w:right="0" w:firstLine="0"/>
        <w:jc w:val="both"/>
        <w:tabs>
          <w:tab w:val="left" w:pos="992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для Акционеров-физических лиц - пользователям Личного кабинета акционера, идентификационные данные которых совпадают с данными лиц, имеющих право голоса при принятии решений Собранием;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31"/>
        </w:numPr>
        <w:ind w:left="709" w:right="0" w:firstLine="0"/>
        <w:jc w:val="both"/>
        <w:tabs>
          <w:tab w:val="left" w:pos="992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для представителей Акционеров – пользователей Личного кабинета акци</w:t>
      </w:r>
      <w:r>
        <w:rPr>
          <w:sz w:val="23"/>
          <w:szCs w:val="23"/>
        </w:rPr>
        <w:t xml:space="preserve">онера, если данные о представляемом лице совпадают с данными лиц, имеющих право голоса при принятии решений Собранием;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31"/>
        </w:numPr>
        <w:ind w:left="709" w:right="0" w:firstLine="0"/>
        <w:jc w:val="both"/>
        <w:tabs>
          <w:tab w:val="left" w:pos="992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для Акционеров - пользователей Личного кабинета акционера, не зарегистрированных в реестре владельцев ценных бумаг ПАО «Россети Юг» и явл</w:t>
      </w:r>
      <w:r>
        <w:rPr>
          <w:sz w:val="23"/>
          <w:szCs w:val="23"/>
        </w:rPr>
        <w:t xml:space="preserve">яющихся клиентами номинальных держателей, при условии, что номинальный держатель в установленные законодательством сроки (не позднее 07.06.2026) предоставил регистратору Общества информацию, подтверждающую право голоса такого Акционера при принятии решени</w:t>
      </w:r>
      <w:r>
        <w:rPr>
          <w:sz w:val="23"/>
          <w:szCs w:val="23"/>
        </w:rPr>
        <w:t xml:space="preserve">й Собранием.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Регистрация для участия в Заседании.</w:t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После выбора Заседания и пакета акций для голосования (если их более одного) необходимо зарегистрироваться для участия в Заседании. Кнопка регистрации расположена под плеером, предназначенным для Трансляци</w:t>
      </w:r>
      <w:r>
        <w:rPr>
          <w:sz w:val="23"/>
          <w:szCs w:val="23"/>
          <w:highlight w:val="white"/>
        </w:rPr>
        <w:t xml:space="preserve">и. При наличии более одного пакета акций необходимо зарегистрироваться для участия в Заседании следующим пакетом, для чего нужно вернуться на экран назад и выбрать следующий пакет акций.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Трансляция Заседания.</w:t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Трансляция Заседания в режиме реального времени</w:t>
      </w:r>
      <w:r>
        <w:rPr>
          <w:sz w:val="23"/>
          <w:szCs w:val="23"/>
          <w:highlight w:val="white"/>
        </w:rPr>
        <w:t xml:space="preserve"> и возможность участия в обсуждении вопросов Повестки дня  обеспечивается всем лицам, имеющим право голоса при принятии решений </w:t>
      </w:r>
      <w:r>
        <w:rPr>
          <w:bCs/>
          <w:sz w:val="23"/>
          <w:szCs w:val="23"/>
          <w:highlight w:val="white"/>
        </w:rPr>
        <w:t xml:space="preserve">годовым заседанием Общего собрания акционеров Общества</w:t>
      </w:r>
      <w:r>
        <w:rPr>
          <w:sz w:val="23"/>
          <w:szCs w:val="23"/>
          <w:highlight w:val="white"/>
        </w:rPr>
        <w:t xml:space="preserve"> (или их представителям), зарегистрировавшимся для участия в Заседании. 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Т</w:t>
      </w:r>
      <w:r>
        <w:rPr>
          <w:sz w:val="23"/>
          <w:szCs w:val="23"/>
          <w:highlight w:val="white"/>
        </w:rPr>
        <w:t xml:space="preserve">рансляция осуществляется автоматически после начала Заседания. В случае остановки трансляции необходимо обновить страницу, на которой ведется трансляция, или нажать на кнопку воспроизведения в нижней части плеера. 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802"/>
        <w:numPr>
          <w:ilvl w:val="0"/>
          <w:numId w:val="13"/>
        </w:numPr>
        <w:contextualSpacing w:val="0"/>
        <w:ind w:left="0" w:firstLine="284"/>
        <w:jc w:val="both"/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Голосование на Заседании по вопросам по</w:t>
      </w:r>
      <w:r>
        <w:rPr>
          <w:b/>
          <w:sz w:val="23"/>
          <w:szCs w:val="23"/>
        </w:rPr>
        <w:t xml:space="preserve">вестки дня.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Акционерам, зарегистрировавшимся для участия в Заседании (и не проголосовавшим заочно), обеспечена возможность заполнения электронной формы бюллетеня для голосования в Личном кабинете акционера, расположенной ниже кнопки для  регистрации.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Посл</w:t>
      </w:r>
      <w:r>
        <w:rPr>
          <w:sz w:val="23"/>
          <w:szCs w:val="23"/>
        </w:rPr>
        <w:t xml:space="preserve">е окончания голосования по всем вопросам повестки дня Заседания и проверки голосования на визуализации заполненного бюллетеня данный бюллетень подписывается Акционером путем нажатия соответствующей кнопки «подписать и отправить бюллетени». Подписание осуще</w:t>
      </w:r>
      <w:r>
        <w:rPr>
          <w:sz w:val="23"/>
          <w:szCs w:val="23"/>
        </w:rPr>
        <w:t xml:space="preserve">ствляется простой электронной подписью.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3"/>
          <w:szCs w:val="23"/>
          <w:highlight w:val="white"/>
        </w:rPr>
      </w:pPr>
      <w:r>
        <w:rPr>
          <w:sz w:val="23"/>
          <w:szCs w:val="23"/>
        </w:rPr>
        <w:t xml:space="preserve">Акционеры, проголосовавшие заочно, вправе участвовать в Заседании без возможности голосования на нем.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pStyle w:val="802"/>
        <w:numPr>
          <w:ilvl w:val="0"/>
          <w:numId w:val="13"/>
        </w:numPr>
        <w:contextualSpacing w:val="0"/>
        <w:ind w:left="0" w:firstLine="284"/>
        <w:spacing w:before="120"/>
        <w:rPr>
          <w:b/>
          <w:sz w:val="22"/>
          <w:szCs w:val="18"/>
        </w:rPr>
      </w:pPr>
      <w:r>
        <w:rPr>
          <w:b/>
          <w:bCs/>
          <w:sz w:val="23"/>
          <w:szCs w:val="23"/>
        </w:rPr>
        <w:t xml:space="preserve">Доступ к информации (материалам)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Информация (материалы) размещается на сайте Общества в информационно-</w:t>
      </w:r>
      <w:r>
        <w:rPr>
          <w:sz w:val="23"/>
          <w:szCs w:val="23"/>
        </w:rPr>
        <w:t xml:space="preserve">телекоммуникационной</w:t>
      </w:r>
      <w:r>
        <w:rPr>
          <w:bCs/>
          <w:sz w:val="23"/>
          <w:szCs w:val="23"/>
        </w:rPr>
        <w:t xml:space="preserve"> сети «Интернет» по адресу: </w:t>
      </w:r>
      <w:hyperlink r:id="rId18" w:tooltip="http://www.mrsk-1.ru" w:history="1">
        <w:r>
          <w:rPr>
            <w:rStyle w:val="944"/>
            <w:bCs/>
            <w:sz w:val="23"/>
            <w:szCs w:val="23"/>
          </w:rPr>
          <w:t xml:space="preserve">https://rosseti-yug.ru/</w:t>
        </w:r>
      </w:hyperlink>
      <w:r>
        <w:rPr>
          <w:rStyle w:val="944"/>
          <w:bCs/>
          <w:sz w:val="23"/>
          <w:szCs w:val="23"/>
        </w:rPr>
        <w:t xml:space="preserve">,</w:t>
      </w:r>
      <w:r>
        <w:rPr>
          <w:sz w:val="23"/>
          <w:szCs w:val="23"/>
        </w:rPr>
        <w:t xml:space="preserve"> а также в Личном кабинете акционера.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0"/>
          <w:numId w:val="13"/>
        </w:numPr>
        <w:contextualSpacing w:val="0"/>
        <w:ind w:left="0" w:firstLine="284"/>
        <w:spacing w:before="120"/>
        <w:rPr>
          <w:b/>
          <w:sz w:val="22"/>
          <w:szCs w:val="18"/>
        </w:rPr>
      </w:pPr>
      <w:r>
        <w:rPr>
          <w:b/>
          <w:sz w:val="23"/>
          <w:szCs w:val="23"/>
        </w:rPr>
        <w:t xml:space="preserve">Обсуждение вопросов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tabs>
          <w:tab w:val="left" w:pos="1134" w:leader="none"/>
        </w:tabs>
        <w:rPr>
          <w:sz w:val="22"/>
          <w:szCs w:val="18"/>
        </w:rPr>
      </w:pPr>
      <w:r>
        <w:rPr>
          <w:sz w:val="23"/>
          <w:szCs w:val="23"/>
        </w:rPr>
        <w:t xml:space="preserve">Акционеры вправе участвовать в обсуждении вопросов на Заседании</w:t>
      </w:r>
      <w:r>
        <w:rPr>
          <w:sz w:val="23"/>
          <w:szCs w:val="23"/>
        </w:rPr>
        <w:t xml:space="preserve"> только по вопросам объявленной повестки дня.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tabs>
          <w:tab w:val="left" w:pos="1134" w:leader="none"/>
        </w:tabs>
        <w:rPr>
          <w:sz w:val="22"/>
          <w:szCs w:val="18"/>
        </w:rPr>
      </w:pPr>
      <w:r>
        <w:rPr>
          <w:sz w:val="23"/>
          <w:szCs w:val="23"/>
        </w:rPr>
        <w:t xml:space="preserve">Во время проведения Заседания (с момента открытия Заседания до его закрытия в соответствии с требованиями законодательства Российской Федерации) Акционер вправе письменно задать вопрос в онлайн – чате Личного к</w:t>
      </w:r>
      <w:r>
        <w:rPr>
          <w:sz w:val="23"/>
          <w:szCs w:val="23"/>
        </w:rPr>
        <w:t xml:space="preserve">абинета акционера. При направлении вопроса Акционер должен указать номер вопроса повестки дня и электронный адрес по которому Общество может направить ответ в случае, если в ходе Заседания будут даны ответы не на все вопросы, заданные Акционерами.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tabs>
          <w:tab w:val="left" w:pos="1134" w:leader="none"/>
        </w:tabs>
        <w:rPr>
          <w:sz w:val="22"/>
          <w:szCs w:val="18"/>
        </w:rPr>
      </w:pPr>
      <w:r>
        <w:rPr>
          <w:sz w:val="23"/>
          <w:szCs w:val="23"/>
        </w:rPr>
        <w:t xml:space="preserve">Председа</w:t>
      </w:r>
      <w:r>
        <w:rPr>
          <w:sz w:val="23"/>
          <w:szCs w:val="23"/>
        </w:rPr>
        <w:t xml:space="preserve">тельствующий на Заседании вправе группировать (объединять) вопросы по их тематике и давать общий ответ на несколько вопросов, связанных между собой по существу затрагиваемых тем.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tabs>
          <w:tab w:val="left" w:pos="1134" w:leader="none"/>
        </w:tabs>
        <w:rPr>
          <w:sz w:val="22"/>
          <w:szCs w:val="18"/>
        </w:rPr>
      </w:pPr>
      <w:r>
        <w:rPr>
          <w:sz w:val="23"/>
          <w:szCs w:val="23"/>
        </w:rPr>
        <w:t xml:space="preserve">Председательствующий на Заседании отводит не менее 30 минут на ответы на вопр</w:t>
      </w:r>
      <w:r>
        <w:rPr>
          <w:sz w:val="23"/>
          <w:szCs w:val="23"/>
        </w:rPr>
        <w:t xml:space="preserve">осы акционеров сразу после представления всех докладов по вопросам повестки дня. </w:t>
      </w:r>
      <w:r>
        <w:rPr>
          <w:sz w:val="23"/>
          <w:szCs w:val="23"/>
        </w:rPr>
        <w:t xml:space="preserve">Приведенные в настоящем пункте сроки Председательствующий на Заседании вправе изменить.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tabs>
          <w:tab w:val="left" w:pos="1134" w:leader="none"/>
        </w:tabs>
        <w:rPr>
          <w:sz w:val="22"/>
          <w:szCs w:val="18"/>
        </w:rPr>
      </w:pPr>
      <w:r>
        <w:rPr>
          <w:sz w:val="23"/>
          <w:szCs w:val="23"/>
        </w:rPr>
        <w:t xml:space="preserve">На вопросы, ответы на которые не были получены в ходе проведения Заседания, Общество от</w:t>
      </w:r>
      <w:r>
        <w:rPr>
          <w:sz w:val="23"/>
          <w:szCs w:val="23"/>
        </w:rPr>
        <w:t xml:space="preserve">вечает в письменной форме в течение 30 (Тридцати) дней с даты проведения Заседания путем направления ответов по адресу электронной почты, указанной Акционером при направлении вопроса.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0"/>
          <w:numId w:val="13"/>
        </w:numPr>
        <w:contextualSpacing w:val="0"/>
        <w:ind w:left="0" w:firstLine="284"/>
        <w:spacing w:before="120"/>
        <w:rPr>
          <w:b/>
          <w:sz w:val="22"/>
          <w:szCs w:val="18"/>
        </w:rPr>
      </w:pPr>
      <w:r>
        <w:rPr>
          <w:b/>
          <w:sz w:val="23"/>
          <w:szCs w:val="23"/>
        </w:rPr>
        <w:t xml:space="preserve">Технические требования для участия в Заседании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right="0" w:firstLine="709"/>
        <w:jc w:val="both"/>
        <w:tabs>
          <w:tab w:val="left" w:pos="85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Лица, принимающие Дистанц</w:t>
      </w:r>
      <w:r>
        <w:rPr>
          <w:sz w:val="23"/>
          <w:szCs w:val="23"/>
        </w:rPr>
        <w:t xml:space="preserve">ионное участие в Заседании, обязаны обеспечить наличие необходимого оборудования и программного обеспечения для подключения к электронным сервисам, используемым для Дистанционного участия в Заседании.</w:t>
      </w:r>
      <w:r>
        <w:t xml:space="preserve">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2"/>
          <w:szCs w:val="18"/>
        </w:rPr>
      </w:pPr>
      <w:r>
        <w:rPr>
          <w:sz w:val="23"/>
          <w:szCs w:val="23"/>
        </w:rPr>
        <w:t xml:space="preserve">Минимальные технические требования: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2"/>
          <w:numId w:val="13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Компьютер или друг</w:t>
      </w:r>
      <w:r>
        <w:rPr>
          <w:sz w:val="23"/>
          <w:szCs w:val="23"/>
        </w:rPr>
        <w:t xml:space="preserve">ое электронное устройство (ноутбук, планшет, смартфон) с выходом в сеть Интернет, поддерживающее работу браузеров: Яндекс.Браузер (версия 23 и позднее), </w:t>
      </w:r>
      <w:r>
        <w:rPr>
          <w:sz w:val="23"/>
          <w:szCs w:val="23"/>
          <w:lang w:val="en-US"/>
        </w:rPr>
        <w:t xml:space="preserve">Google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 xml:space="preserve">Chrome</w:t>
      </w:r>
      <w:r>
        <w:rPr>
          <w:sz w:val="23"/>
          <w:szCs w:val="23"/>
        </w:rPr>
        <w:t xml:space="preserve"> (версия 108 и позднее), </w:t>
      </w:r>
      <w:r>
        <w:rPr>
          <w:sz w:val="23"/>
          <w:szCs w:val="23"/>
          <w:lang w:val="en-US"/>
        </w:rPr>
        <w:t xml:space="preserve">Mozilla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 xml:space="preserve">Firefox</w:t>
      </w:r>
      <w:r>
        <w:rPr>
          <w:sz w:val="23"/>
          <w:szCs w:val="23"/>
        </w:rPr>
        <w:t xml:space="preserve">(версия 107 и позднее), </w:t>
      </w:r>
      <w:r>
        <w:rPr>
          <w:sz w:val="23"/>
          <w:szCs w:val="23"/>
          <w:lang w:val="en-US"/>
        </w:rPr>
        <w:t xml:space="preserve">Opera</w:t>
      </w:r>
      <w:r>
        <w:rPr>
          <w:sz w:val="23"/>
          <w:szCs w:val="23"/>
        </w:rPr>
        <w:t xml:space="preserve">, </w:t>
      </w:r>
      <w:r>
        <w:rPr>
          <w:sz w:val="23"/>
          <w:szCs w:val="23"/>
          <w:lang w:val="en-US"/>
        </w:rPr>
        <w:t xml:space="preserve">Safari</w:t>
      </w:r>
      <w:r>
        <w:rPr>
          <w:sz w:val="23"/>
          <w:szCs w:val="23"/>
        </w:rPr>
        <w:t xml:space="preserve">, </w:t>
      </w:r>
      <w:r>
        <w:rPr>
          <w:sz w:val="23"/>
          <w:szCs w:val="23"/>
          <w:lang w:val="en-US"/>
        </w:rPr>
        <w:t xml:space="preserve">Microsoft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 xml:space="preserve">E</w:t>
      </w:r>
      <w:r>
        <w:rPr>
          <w:sz w:val="23"/>
          <w:szCs w:val="23"/>
          <w:lang w:val="en-US"/>
        </w:rPr>
        <w:t xml:space="preserve">dge</w:t>
      </w:r>
      <w:r>
        <w:rPr>
          <w:sz w:val="23"/>
          <w:szCs w:val="23"/>
        </w:rPr>
        <w:t xml:space="preserve"> или аналог последних версий. Мобильное приложение Акционер.online не поддерживает видеоконференцсвязь, поэтому для участия в дистанционных заседаниях нужно использовать браузер.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2"/>
          <w:numId w:val="13"/>
        </w:numPr>
        <w:ind w:left="0" w:firstLine="709"/>
        <w:jc w:val="both"/>
        <w:rPr>
          <w:sz w:val="22"/>
          <w:szCs w:val="18"/>
        </w:rPr>
      </w:pPr>
      <w:r>
        <w:rPr>
          <w:sz w:val="23"/>
          <w:szCs w:val="23"/>
        </w:rPr>
        <w:t xml:space="preserve">Наличие на устройстве сертификата Минцифры.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2"/>
          <w:numId w:val="13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Обеспечение скорости интернет-</w:t>
      </w:r>
      <w:r>
        <w:rPr>
          <w:sz w:val="23"/>
          <w:szCs w:val="23"/>
        </w:rPr>
        <w:t xml:space="preserve">соединения не ниже 15 Мбит/с для комфортного отображения потокового видео и обмена информацией. Рекомендуется использовать проводное соединение или беспроводное соединение </w:t>
      </w:r>
      <w:r>
        <w:rPr>
          <w:sz w:val="23"/>
          <w:szCs w:val="23"/>
          <w:lang w:val="en-US"/>
        </w:rPr>
        <w:t xml:space="preserve">WI</w:t>
      </w:r>
      <w:r>
        <w:rPr>
          <w:sz w:val="23"/>
          <w:szCs w:val="23"/>
        </w:rPr>
        <w:t xml:space="preserve">-</w:t>
      </w:r>
      <w:r>
        <w:rPr>
          <w:sz w:val="23"/>
          <w:szCs w:val="23"/>
          <w:lang w:val="en-US"/>
        </w:rPr>
        <w:t xml:space="preserve">FI</w:t>
      </w:r>
      <w:r>
        <w:rPr>
          <w:sz w:val="23"/>
          <w:szCs w:val="23"/>
        </w:rPr>
        <w:t xml:space="preserve">, так как они обеспечивают более стабильное и надежное соединение, чем мобильны</w:t>
      </w:r>
      <w:bookmarkStart w:id="2" w:name="_GoBack"/>
      <w:r/>
      <w:bookmarkEnd w:id="2"/>
      <w:r>
        <w:rPr>
          <w:sz w:val="23"/>
          <w:szCs w:val="23"/>
        </w:rPr>
        <w:t xml:space="preserve">е устройства и мобильный интернет.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2"/>
          <w:numId w:val="13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Отключение в настройках своего устройства и используемого браузера перехода устройства в «спящий режим» или «режим энергосбережения». Данные режимы могут привести к несвоевременному отключению устройства от трансляции.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02"/>
        <w:numPr>
          <w:ilvl w:val="2"/>
          <w:numId w:val="13"/>
        </w:numPr>
        <w:ind w:left="0" w:firstLine="709"/>
        <w:jc w:val="both"/>
        <w:rPr>
          <w:sz w:val="22"/>
          <w:szCs w:val="18"/>
        </w:rPr>
      </w:pPr>
      <w:r>
        <w:rPr>
          <w:sz w:val="23"/>
          <w:szCs w:val="23"/>
        </w:rPr>
        <w:t xml:space="preserve">На</w:t>
      </w:r>
      <w:r>
        <w:rPr>
          <w:sz w:val="23"/>
          <w:szCs w:val="23"/>
        </w:rPr>
        <w:t xml:space="preserve">личие устойчивого источника питания устройства.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2"/>
          <w:numId w:val="13"/>
        </w:numPr>
        <w:ind w:left="0" w:firstLine="709"/>
        <w:jc w:val="both"/>
        <w:rPr>
          <w:sz w:val="22"/>
          <w:szCs w:val="18"/>
        </w:rPr>
      </w:pPr>
      <w:r>
        <w:rPr>
          <w:sz w:val="23"/>
          <w:szCs w:val="23"/>
        </w:rPr>
        <w:t xml:space="preserve">Наличие антивирусного программного обеспечения для предотвращения несанкционированного вмешательства в процесс участия в Заседании.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2"/>
          <w:numId w:val="13"/>
        </w:numPr>
        <w:ind w:left="0" w:firstLine="709"/>
        <w:jc w:val="both"/>
        <w:rPr>
          <w:sz w:val="22"/>
          <w:szCs w:val="18"/>
        </w:rPr>
      </w:pPr>
      <w:r>
        <w:rPr>
          <w:sz w:val="23"/>
          <w:szCs w:val="23"/>
        </w:rPr>
        <w:t xml:space="preserve">Общество не несет ответственность за любые технические неполадки, такие как </w:t>
      </w:r>
      <w:r>
        <w:rPr>
          <w:sz w:val="23"/>
          <w:szCs w:val="23"/>
        </w:rPr>
        <w:t xml:space="preserve">перебои в работе Интернет-соединения, некорректная работа браузера и пр., возникающие на стороне Акционера.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02"/>
        <w:numPr>
          <w:ilvl w:val="0"/>
          <w:numId w:val="13"/>
        </w:numPr>
        <w:contextualSpacing w:val="0"/>
        <w:ind w:left="0" w:firstLine="284"/>
        <w:spacing w:before="120"/>
        <w:rPr>
          <w:b/>
          <w:sz w:val="22"/>
          <w:szCs w:val="18"/>
        </w:rPr>
      </w:pPr>
      <w:r>
        <w:rPr>
          <w:b/>
          <w:sz w:val="23"/>
          <w:szCs w:val="23"/>
        </w:rPr>
        <w:t xml:space="preserve">Хранение записи Заседания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pStyle w:val="802"/>
        <w:numPr>
          <w:ilvl w:val="1"/>
          <w:numId w:val="13"/>
        </w:numPr>
        <w:ind w:left="0" w:firstLine="709"/>
        <w:jc w:val="both"/>
        <w:rPr>
          <w:sz w:val="22"/>
          <w:szCs w:val="18"/>
        </w:rPr>
      </w:pPr>
      <w:r>
        <w:rPr>
          <w:sz w:val="23"/>
          <w:szCs w:val="23"/>
        </w:rPr>
        <w:t xml:space="preserve">Запись трансляции Заседания хранится Обществом в течение срока, установленного законодательством Российской Федерации и вн</w:t>
      </w:r>
      <w:r>
        <w:rPr>
          <w:sz w:val="23"/>
          <w:szCs w:val="23"/>
        </w:rPr>
        <w:t xml:space="preserve">утренними документами Общества.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850" w:bottom="1276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onsultant">
    <w:panose1 w:val="02000603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separate"/>
    </w:r>
    <w:r>
      <w:rPr>
        <w:rStyle w:val="964"/>
      </w:rPr>
      <w:t xml:space="preserve">2</w:t>
    </w:r>
    <w:r>
      <w:rPr>
        <w:rStyle w:val="964"/>
      </w:rPr>
      <w:fldChar w:fldCharType="end"/>
    </w:r>
    <w:r>
      <w:rPr>
        <w:rStyle w:val="964"/>
      </w:rPr>
    </w:r>
    <w:r>
      <w:rPr>
        <w:rStyle w:val="964"/>
      </w:rPr>
    </w:r>
  </w:p>
  <w:p>
    <w:pPr>
      <w:pStyle w:val="8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separate"/>
    </w:r>
    <w:r>
      <w:rPr>
        <w:rStyle w:val="964"/>
      </w:rPr>
      <w:fldChar w:fldCharType="end"/>
    </w:r>
    <w:r>
      <w:rPr>
        <w:rStyle w:val="964"/>
      </w:rPr>
    </w:r>
    <w:r>
      <w:rPr>
        <w:rStyle w:val="964"/>
      </w:rPr>
    </w:r>
  </w:p>
  <w:p>
    <w:pPr>
      <w:pStyle w:val="8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45" w:hanging="585"/>
      </w:pPr>
      <w:rPr>
        <w:b w:val="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28" w:hanging="644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5824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92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392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856" w:hanging="144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69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2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648" w:hanging="216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544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80" w:hanging="38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08" w:hanging="144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6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pStyle w:val="962"/>
      <w:isLgl w:val="false"/>
      <w:suff w:val="tab"/>
      <w:lvlText w:val="%1."/>
      <w:lvlJc w:val="left"/>
      <w:pPr>
        <w:ind w:left="405" w:hanging="405"/>
        <w:tabs>
          <w:tab w:val="num" w:pos="40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128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484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28"/>
  </w:num>
  <w:num w:numId="3">
    <w:abstractNumId w:val="0"/>
  </w:num>
  <w:num w:numId="4">
    <w:abstractNumId w:val="31"/>
  </w:num>
  <w:num w:numId="5">
    <w:abstractNumId w:val="1"/>
  </w:num>
  <w:num w:numId="6">
    <w:abstractNumId w:val="13"/>
  </w:num>
  <w:num w:numId="7">
    <w:abstractNumId w:val="24"/>
  </w:num>
  <w:num w:numId="8">
    <w:abstractNumId w:val="12"/>
  </w:num>
  <w:num w:numId="9">
    <w:abstractNumId w:val="20"/>
  </w:num>
  <w:num w:numId="10">
    <w:abstractNumId w:val="26"/>
  </w:num>
  <w:num w:numId="11">
    <w:abstractNumId w:val="6"/>
  </w:num>
  <w:num w:numId="12">
    <w:abstractNumId w:val="25"/>
  </w:num>
  <w:num w:numId="13">
    <w:abstractNumId w:val="5"/>
  </w:num>
  <w:num w:numId="14">
    <w:abstractNumId w:val="2"/>
  </w:num>
  <w:num w:numId="15">
    <w:abstractNumId w:val="17"/>
  </w:num>
  <w:num w:numId="16">
    <w:abstractNumId w:val="14"/>
  </w:num>
  <w:num w:numId="17">
    <w:abstractNumId w:val="21"/>
  </w:num>
  <w:num w:numId="18">
    <w:abstractNumId w:val="35"/>
  </w:num>
  <w:num w:numId="19">
    <w:abstractNumId w:val="15"/>
  </w:num>
  <w:num w:numId="20">
    <w:abstractNumId w:val="27"/>
  </w:num>
  <w:num w:numId="21">
    <w:abstractNumId w:val="9"/>
  </w:num>
  <w:num w:numId="22">
    <w:abstractNumId w:val="34"/>
  </w:num>
  <w:num w:numId="23">
    <w:abstractNumId w:val="23"/>
  </w:num>
  <w:num w:numId="24">
    <w:abstractNumId w:val="8"/>
  </w:num>
  <w:num w:numId="25">
    <w:abstractNumId w:val="16"/>
  </w:num>
  <w:num w:numId="26">
    <w:abstractNumId w:val="32"/>
  </w:num>
  <w:num w:numId="27">
    <w:abstractNumId w:val="3"/>
  </w:num>
  <w:num w:numId="28">
    <w:abstractNumId w:val="22"/>
  </w:num>
  <w:num w:numId="29">
    <w:abstractNumId w:val="11"/>
  </w:num>
  <w:num w:numId="30">
    <w:abstractNumId w:val="19"/>
  </w:num>
  <w:num w:numId="31">
    <w:abstractNumId w:val="4"/>
  </w:num>
  <w:num w:numId="32">
    <w:abstractNumId w:val="33"/>
  </w:num>
  <w:num w:numId="33">
    <w:abstractNumId w:val="30"/>
  </w:num>
  <w:num w:numId="34">
    <w:abstractNumId w:val="18"/>
  </w:num>
  <w:num w:numId="35">
    <w:abstractNumId w:val="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rPr>
      <w:sz w:val="24"/>
      <w:szCs w:val="24"/>
      <w:lang w:eastAsia="ru-RU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paragraph" w:styleId="767" w:customStyle="1">
    <w:name w:val="Heading 1"/>
    <w:basedOn w:val="763"/>
    <w:next w:val="763"/>
    <w:link w:val="7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8" w:customStyle="1">
    <w:name w:val="Heading 2"/>
    <w:basedOn w:val="763"/>
    <w:next w:val="763"/>
    <w:link w:val="7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9" w:customStyle="1">
    <w:name w:val="Heading 3"/>
    <w:basedOn w:val="763"/>
    <w:next w:val="763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0" w:customStyle="1">
    <w:name w:val="Heading 4"/>
    <w:basedOn w:val="763"/>
    <w:next w:val="763"/>
    <w:link w:val="7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 w:customStyle="1">
    <w:name w:val="Heading 5"/>
    <w:basedOn w:val="763"/>
    <w:next w:val="763"/>
    <w:link w:val="7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2" w:customStyle="1">
    <w:name w:val="Heading 6"/>
    <w:basedOn w:val="763"/>
    <w:next w:val="763"/>
    <w:link w:val="7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3" w:customStyle="1">
    <w:name w:val="Heading 7"/>
    <w:basedOn w:val="763"/>
    <w:next w:val="763"/>
    <w:link w:val="7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4" w:customStyle="1">
    <w:name w:val="Heading 8"/>
    <w:basedOn w:val="763"/>
    <w:next w:val="763"/>
    <w:link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5" w:customStyle="1">
    <w:name w:val="Heading 9"/>
    <w:basedOn w:val="763"/>
    <w:next w:val="763"/>
    <w:link w:val="8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Heading 7 Char"/>
    <w:basedOn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Heading 8 Char"/>
    <w:basedOn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Heading 9 Char"/>
    <w:basedOn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Title Char"/>
    <w:basedOn w:val="764"/>
    <w:uiPriority w:val="10"/>
    <w:rPr>
      <w:sz w:val="48"/>
      <w:szCs w:val="48"/>
    </w:rPr>
  </w:style>
  <w:style w:type="character" w:styleId="786" w:customStyle="1">
    <w:name w:val="Subtitle Char"/>
    <w:basedOn w:val="764"/>
    <w:uiPriority w:val="11"/>
    <w:rPr>
      <w:sz w:val="24"/>
      <w:szCs w:val="24"/>
    </w:rPr>
  </w:style>
  <w:style w:type="character" w:styleId="787" w:customStyle="1">
    <w:name w:val="Quote Char"/>
    <w:uiPriority w:val="29"/>
    <w:rPr>
      <w:i/>
    </w:rPr>
  </w:style>
  <w:style w:type="character" w:styleId="788" w:customStyle="1">
    <w:name w:val="Intense Quote Char"/>
    <w:uiPriority w:val="30"/>
    <w:rPr>
      <w:i/>
    </w:rPr>
  </w:style>
  <w:style w:type="character" w:styleId="789" w:customStyle="1">
    <w:name w:val="Footer Char"/>
    <w:basedOn w:val="764"/>
    <w:uiPriority w:val="99"/>
  </w:style>
  <w:style w:type="character" w:styleId="790" w:customStyle="1">
    <w:name w:val="Caption Char"/>
    <w:basedOn w:val="764"/>
    <w:uiPriority w:val="35"/>
    <w:rPr>
      <w:b/>
      <w:bCs/>
      <w:color w:val="4f81bd" w:themeColor="accent1"/>
      <w:sz w:val="18"/>
      <w:szCs w:val="18"/>
    </w:rPr>
  </w:style>
  <w:style w:type="character" w:styleId="791" w:customStyle="1">
    <w:name w:val="Footnote Text Char"/>
    <w:uiPriority w:val="99"/>
    <w:rPr>
      <w:sz w:val="18"/>
    </w:rPr>
  </w:style>
  <w:style w:type="character" w:styleId="792" w:customStyle="1">
    <w:name w:val="Endnote Text Char"/>
    <w:uiPriority w:val="99"/>
    <w:rPr>
      <w:sz w:val="20"/>
    </w:rPr>
  </w:style>
  <w:style w:type="character" w:styleId="793" w:customStyle="1">
    <w:name w:val="Заголовок 1 Знак"/>
    <w:link w:val="767"/>
    <w:uiPriority w:val="9"/>
    <w:rPr>
      <w:rFonts w:ascii="Arial" w:hAnsi="Arial" w:eastAsia="Arial" w:cs="Arial"/>
      <w:sz w:val="40"/>
      <w:szCs w:val="40"/>
    </w:rPr>
  </w:style>
  <w:style w:type="character" w:styleId="794" w:customStyle="1">
    <w:name w:val="Заголовок 2 Знак"/>
    <w:link w:val="768"/>
    <w:uiPriority w:val="9"/>
    <w:rPr>
      <w:rFonts w:ascii="Arial" w:hAnsi="Arial" w:eastAsia="Arial" w:cs="Arial"/>
      <w:sz w:val="34"/>
    </w:rPr>
  </w:style>
  <w:style w:type="character" w:styleId="795" w:customStyle="1">
    <w:name w:val="Заголовок 3 Знак"/>
    <w:link w:val="769"/>
    <w:uiPriority w:val="9"/>
    <w:rPr>
      <w:rFonts w:ascii="Arial" w:hAnsi="Arial" w:eastAsia="Arial" w:cs="Arial"/>
      <w:sz w:val="30"/>
      <w:szCs w:val="30"/>
    </w:rPr>
  </w:style>
  <w:style w:type="character" w:styleId="796" w:customStyle="1">
    <w:name w:val="Заголовок 4 Знак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Заголовок 5 Знак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Заголовок 6 Знак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Заголовок 7 Знак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Заголовок 8 Знак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Заголовок 9 Знак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802">
    <w:name w:val="List Paragraph"/>
    <w:basedOn w:val="763"/>
    <w:uiPriority w:val="34"/>
    <w:qFormat/>
    <w:pPr>
      <w:contextualSpacing/>
      <w:ind w:left="720"/>
    </w:pPr>
  </w:style>
  <w:style w:type="paragraph" w:styleId="803">
    <w:name w:val="No Spacing"/>
    <w:uiPriority w:val="1"/>
    <w:qFormat/>
  </w:style>
  <w:style w:type="paragraph" w:styleId="804">
    <w:name w:val="Title"/>
    <w:basedOn w:val="763"/>
    <w:next w:val="763"/>
    <w:link w:val="8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5" w:customStyle="1">
    <w:name w:val="Заголовок Знак"/>
    <w:link w:val="804"/>
    <w:uiPriority w:val="10"/>
    <w:rPr>
      <w:sz w:val="48"/>
      <w:szCs w:val="48"/>
    </w:rPr>
  </w:style>
  <w:style w:type="paragraph" w:styleId="806">
    <w:name w:val="Subtitle"/>
    <w:basedOn w:val="763"/>
    <w:next w:val="763"/>
    <w:link w:val="807"/>
    <w:uiPriority w:val="11"/>
    <w:qFormat/>
    <w:pPr>
      <w:spacing w:before="200" w:after="200"/>
    </w:pPr>
  </w:style>
  <w:style w:type="character" w:styleId="807" w:customStyle="1">
    <w:name w:val="Подзаголовок Знак"/>
    <w:link w:val="806"/>
    <w:uiPriority w:val="11"/>
    <w:rPr>
      <w:sz w:val="24"/>
      <w:szCs w:val="24"/>
    </w:rPr>
  </w:style>
  <w:style w:type="paragraph" w:styleId="808">
    <w:name w:val="Quote"/>
    <w:basedOn w:val="763"/>
    <w:next w:val="763"/>
    <w:link w:val="809"/>
    <w:uiPriority w:val="29"/>
    <w:qFormat/>
    <w:pPr>
      <w:ind w:left="720" w:right="720"/>
    </w:pPr>
    <w:rPr>
      <w:i/>
    </w:rPr>
  </w:style>
  <w:style w:type="character" w:styleId="809" w:customStyle="1">
    <w:name w:val="Цитата 2 Знак"/>
    <w:link w:val="808"/>
    <w:uiPriority w:val="29"/>
    <w:rPr>
      <w:i/>
    </w:rPr>
  </w:style>
  <w:style w:type="paragraph" w:styleId="810">
    <w:name w:val="Intense Quote"/>
    <w:basedOn w:val="763"/>
    <w:next w:val="763"/>
    <w:link w:val="8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 w:customStyle="1">
    <w:name w:val="Выделенная цитата Знак"/>
    <w:link w:val="810"/>
    <w:uiPriority w:val="30"/>
    <w:rPr>
      <w:i/>
    </w:rPr>
  </w:style>
  <w:style w:type="paragraph" w:styleId="812" w:customStyle="1">
    <w:name w:val="Header"/>
    <w:basedOn w:val="763"/>
    <w:link w:val="967"/>
    <w:uiPriority w:val="99"/>
    <w:pPr>
      <w:tabs>
        <w:tab w:val="center" w:pos="4677" w:leader="none"/>
        <w:tab w:val="right" w:pos="9355" w:leader="none"/>
      </w:tabs>
    </w:pPr>
  </w:style>
  <w:style w:type="character" w:styleId="813" w:customStyle="1">
    <w:name w:val="Header Char"/>
    <w:uiPriority w:val="99"/>
  </w:style>
  <w:style w:type="paragraph" w:styleId="814" w:customStyle="1">
    <w:name w:val="Footer"/>
    <w:basedOn w:val="763"/>
    <w:link w:val="8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5" w:customStyle="1">
    <w:name w:val="Нижний колонтитул Знак"/>
    <w:link w:val="814"/>
    <w:uiPriority w:val="99"/>
  </w:style>
  <w:style w:type="paragraph" w:styleId="816" w:customStyle="1">
    <w:name w:val="Caption"/>
    <w:basedOn w:val="763"/>
    <w:next w:val="763"/>
    <w:link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7" w:customStyle="1">
    <w:name w:val="Название объекта Знак"/>
    <w:link w:val="816"/>
    <w:uiPriority w:val="35"/>
    <w:rPr>
      <w:b/>
      <w:bCs/>
      <w:color w:val="4f81bd" w:themeColor="accent1"/>
      <w:sz w:val="18"/>
      <w:szCs w:val="18"/>
    </w:rPr>
  </w:style>
  <w:style w:type="table" w:styleId="818">
    <w:name w:val="Table Grid"/>
    <w:basedOn w:val="765"/>
    <w:tblPr/>
  </w:style>
  <w:style w:type="table" w:styleId="81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4">
    <w:name w:val="Hyperlink"/>
    <w:rPr>
      <w:color w:val="0563c1"/>
      <w:u w:val="single"/>
    </w:rPr>
  </w:style>
  <w:style w:type="paragraph" w:styleId="945">
    <w:name w:val="footnote text"/>
    <w:basedOn w:val="763"/>
    <w:link w:val="946"/>
    <w:uiPriority w:val="99"/>
    <w:semiHidden/>
    <w:unhideWhenUsed/>
    <w:pPr>
      <w:spacing w:after="40"/>
    </w:pPr>
    <w:rPr>
      <w:sz w:val="18"/>
    </w:rPr>
  </w:style>
  <w:style w:type="character" w:styleId="946" w:customStyle="1">
    <w:name w:val="Текст сноски Знак"/>
    <w:link w:val="945"/>
    <w:uiPriority w:val="99"/>
    <w:rPr>
      <w:sz w:val="18"/>
    </w:rPr>
  </w:style>
  <w:style w:type="character" w:styleId="947">
    <w:name w:val="footnote reference"/>
    <w:uiPriority w:val="99"/>
    <w:unhideWhenUsed/>
    <w:rPr>
      <w:vertAlign w:val="superscript"/>
    </w:rPr>
  </w:style>
  <w:style w:type="paragraph" w:styleId="948">
    <w:name w:val="endnote text"/>
    <w:basedOn w:val="763"/>
    <w:link w:val="949"/>
    <w:uiPriority w:val="99"/>
    <w:semiHidden/>
    <w:unhideWhenUsed/>
    <w:rPr>
      <w:sz w:val="20"/>
    </w:rPr>
  </w:style>
  <w:style w:type="character" w:styleId="949" w:customStyle="1">
    <w:name w:val="Текст концевой сноски Знак"/>
    <w:link w:val="948"/>
    <w:uiPriority w:val="99"/>
    <w:rPr>
      <w:sz w:val="20"/>
    </w:rPr>
  </w:style>
  <w:style w:type="character" w:styleId="950">
    <w:name w:val="endnote reference"/>
    <w:uiPriority w:val="99"/>
    <w:semiHidden/>
    <w:unhideWhenUsed/>
    <w:rPr>
      <w:vertAlign w:val="superscript"/>
    </w:rPr>
  </w:style>
  <w:style w:type="paragraph" w:styleId="951">
    <w:name w:val="toc 1"/>
    <w:basedOn w:val="763"/>
    <w:next w:val="763"/>
    <w:uiPriority w:val="39"/>
    <w:unhideWhenUsed/>
    <w:pPr>
      <w:spacing w:after="57"/>
    </w:pPr>
  </w:style>
  <w:style w:type="paragraph" w:styleId="952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53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54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55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56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57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58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59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60">
    <w:name w:val="TOC Heading"/>
    <w:uiPriority w:val="39"/>
    <w:unhideWhenUsed/>
  </w:style>
  <w:style w:type="paragraph" w:styleId="961">
    <w:name w:val="table of figures"/>
    <w:basedOn w:val="763"/>
    <w:next w:val="763"/>
    <w:uiPriority w:val="99"/>
    <w:unhideWhenUsed/>
  </w:style>
  <w:style w:type="paragraph" w:styleId="962" w:customStyle="1">
    <w:name w:val="Знак1"/>
    <w:basedOn w:val="763"/>
    <w:pPr>
      <w:numPr>
        <w:ilvl w:val="0"/>
        <w:numId w:val="1"/>
      </w:numPr>
      <w:jc w:val="both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963" w:customStyle="1">
    <w:name w:val="Основной текст с отступом1"/>
    <w:basedOn w:val="763"/>
    <w:link w:val="966"/>
    <w:pPr>
      <w:ind w:firstLine="851"/>
      <w:jc w:val="both"/>
    </w:pPr>
    <w:rPr>
      <w:sz w:val="28"/>
      <w:szCs w:val="20"/>
    </w:rPr>
  </w:style>
  <w:style w:type="character" w:styleId="964">
    <w:name w:val="page number"/>
    <w:basedOn w:val="764"/>
  </w:style>
  <w:style w:type="paragraph" w:styleId="965">
    <w:name w:val="Balloon Text"/>
    <w:basedOn w:val="763"/>
    <w:semiHidden/>
    <w:rPr>
      <w:rFonts w:ascii="Tahoma" w:hAnsi="Tahoma" w:cs="Tahoma"/>
      <w:sz w:val="16"/>
      <w:szCs w:val="16"/>
    </w:rPr>
  </w:style>
  <w:style w:type="character" w:styleId="966" w:customStyle="1">
    <w:name w:val="Char Знак1"/>
    <w:link w:val="963"/>
    <w:rPr>
      <w:sz w:val="28"/>
    </w:rPr>
  </w:style>
  <w:style w:type="character" w:styleId="967" w:customStyle="1">
    <w:name w:val="Верхний колонтитул Знак"/>
    <w:link w:val="812"/>
    <w:uiPriority w:val="99"/>
    <w:rPr>
      <w:sz w:val="24"/>
      <w:szCs w:val="24"/>
    </w:rPr>
  </w:style>
  <w:style w:type="character" w:styleId="968" w:customStyle="1">
    <w:name w:val="Основной текст с отступом Знак1"/>
    <w:rPr>
      <w:sz w:val="28"/>
    </w:rPr>
  </w:style>
  <w:style w:type="character" w:styleId="969">
    <w:name w:val="annotation reference"/>
    <w:rPr>
      <w:sz w:val="16"/>
      <w:szCs w:val="16"/>
    </w:rPr>
  </w:style>
  <w:style w:type="paragraph" w:styleId="970">
    <w:name w:val="annotation text"/>
    <w:basedOn w:val="763"/>
    <w:link w:val="971"/>
    <w:rPr>
      <w:sz w:val="20"/>
      <w:szCs w:val="20"/>
    </w:rPr>
  </w:style>
  <w:style w:type="character" w:styleId="971" w:customStyle="1">
    <w:name w:val="Текст примечания Знак"/>
    <w:basedOn w:val="764"/>
    <w:link w:val="970"/>
  </w:style>
  <w:style w:type="paragraph" w:styleId="972">
    <w:name w:val="annotation subject"/>
    <w:basedOn w:val="970"/>
    <w:next w:val="970"/>
    <w:link w:val="973"/>
    <w:rPr>
      <w:b/>
      <w:bCs/>
    </w:rPr>
  </w:style>
  <w:style w:type="character" w:styleId="973" w:customStyle="1">
    <w:name w:val="Тема примечания Знак"/>
    <w:link w:val="972"/>
    <w:rPr>
      <w:b/>
      <w:bCs/>
    </w:rPr>
  </w:style>
  <w:style w:type="paragraph" w:styleId="974">
    <w:name w:val="Body Text"/>
    <w:basedOn w:val="763"/>
    <w:link w:val="975"/>
    <w:pPr>
      <w:spacing w:after="120"/>
    </w:pPr>
  </w:style>
  <w:style w:type="character" w:styleId="975" w:customStyle="1">
    <w:name w:val="Основной текст Знак"/>
    <w:link w:val="974"/>
    <w:rPr>
      <w:sz w:val="24"/>
      <w:szCs w:val="24"/>
    </w:rPr>
  </w:style>
  <w:style w:type="paragraph" w:styleId="976" w:customStyle="1">
    <w:name w:val="Абзац списка1"/>
    <w:basedOn w:val="763"/>
    <w:qFormat/>
    <w:pPr>
      <w:ind w:left="720"/>
    </w:pPr>
    <w:rPr>
      <w:sz w:val="20"/>
      <w:szCs w:val="20"/>
      <w:lang w:val="en-GB"/>
    </w:rPr>
  </w:style>
  <w:style w:type="paragraph" w:styleId="977" w:customStyle="1">
    <w:name w:val="Основной текст 31"/>
    <w:pPr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6"/>
      <w:szCs w:val="16"/>
      <w:lang w:eastAsia="ru-RU"/>
    </w:rPr>
  </w:style>
  <w:style w:type="paragraph" w:styleId="978" w:customStyle="1">
    <w:name w:val="ConsNonformat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nsultant" w:hAnsi="Consultant"/>
      <w:lang w:eastAsia="ru-RU"/>
    </w:rPr>
  </w:style>
  <w:style w:type="paragraph" w:styleId="979">
    <w:name w:val="Revision"/>
    <w:hidden/>
    <w:uiPriority w:val="99"/>
    <w:semiHidden/>
    <w:rPr>
      <w:sz w:val="24"/>
      <w:szCs w:val="24"/>
      <w:lang w:eastAsia="ru-RU"/>
    </w:rPr>
  </w:style>
  <w:style w:type="character" w:styleId="980">
    <w:name w:val="FollowedHyperlink"/>
    <w:basedOn w:val="764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rrost.ru" TargetMode="External"/><Relationship Id="rId12" Type="http://schemas.openxmlformats.org/officeDocument/2006/relationships/hyperlink" Target="https://lk.rrost.ru/Account/LogOn?returnUrl=%2F" TargetMode="External"/><Relationship Id="rId13" Type="http://schemas.openxmlformats.org/officeDocument/2006/relationships/hyperlink" Target="https://rrost.ru/ru/shareholder/online_shareholder/online-services/new_lka/" TargetMode="External"/><Relationship Id="rId14" Type="http://schemas.openxmlformats.org/officeDocument/2006/relationships/hyperlink" Target="https://rrost.ru/ru/filials/" TargetMode="External"/><Relationship Id="rId15" Type="http://schemas.openxmlformats.org/officeDocument/2006/relationships/hyperlink" Target="https://www.vtbreg.ru" TargetMode="External"/><Relationship Id="rId16" Type="http://schemas.openxmlformats.org/officeDocument/2006/relationships/hyperlink" Target="https://rrost.ru/ru/shareholder/online_shareholder/online-services/new_lka/" TargetMode="External"/><Relationship Id="rId17" Type="http://schemas.openxmlformats.org/officeDocument/2006/relationships/hyperlink" Target="https://rrost.ru/ru/filials/" TargetMode="External"/><Relationship Id="rId18" Type="http://schemas.openxmlformats.org/officeDocument/2006/relationships/hyperlink" Target="http://www.mrsk-1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urova_iv</dc:creator>
  <cp:revision>5</cp:revision>
  <dcterms:created xsi:type="dcterms:W3CDTF">2026-04-29T13:01:00Z</dcterms:created>
  <dcterms:modified xsi:type="dcterms:W3CDTF">2026-05-07T12:58:06Z</dcterms:modified>
  <cp:version>1048576</cp:version>
</cp:coreProperties>
</file>